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DT10 Research, users and the work of others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Investigation and specification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a context and distinguish users' needs from preferences.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neutral primary research with appropriate users and consent.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secondary evidence for credibility, population and relevance.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existing products and translate findings into design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anthropometric percentiles to clearance, reach and accessibility.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Summarise survey counts and percentages with sampling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and revise a brief and measurable justified specification.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Challenges and ethics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environmental, social and economic design opportunities/constraints.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Support sustainability, fair trading and inclusive choices with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DT10 Research, users and the work of others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Shared theory and skills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Designers and companies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Investigate two taught listed designers and two companies using actual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Beck, Morris, Braun and Dyson examples using actual evidence and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works using context, form, function, materials and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Credit influences and test original adaptations without inventing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DT10 Research, users and the work of others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