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DT1 Technology, energy and new materials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Industry and enterprise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automation changes accuracy, jobs, investment and maintenance.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technology push with market pull using a product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crowdfunding, online retail and co-operative enterprise.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Investigate inclusive design and fair producer treatment using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lean, flexible and just-in-time production and their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planned obsolescence and responsible resource 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Energy generation and storage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fossil-fuel and nuclear generation, including emissions and waste.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wind, solar, hydroelectric and tidal conversion and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biomass using regrowth, land use, processing and transport.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energy sources, conversion devices and stores.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thermal generation, pumped storage, flywheels and alkaline cells.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primary or secondary cells for a portable product.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mains or battery power using demand, runtime and safety.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DT1 Technology, energy and new materials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Developments in materials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thermochromic, photochromic and shape-memory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 modern material using evidence of its useful properties.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titanium, nanomaterials, aramid fibres and microencapsulation.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composite constituents and orientation affect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technical textiles for function, durability and care.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DT1 Technology, energy and new materials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